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outlineLvl w:val="0"/>
        <w:rPr>
          <w:rFonts w:hint="eastAsia" w:ascii="方正小标宋_GBK" w:hAnsi="Times New Roman" w:eastAsia="方正小标宋_GBK"/>
          <w:color w:val="000000"/>
          <w:sz w:val="44"/>
          <w:szCs w:val="44"/>
          <w:u w:val="none"/>
          <w:lang w:eastAsia="zh-CN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  <w:u w:val="none"/>
          <w:lang w:eastAsia="zh-CN"/>
        </w:rPr>
        <w:t>淮安生物工程高等职业学校</w:t>
      </w:r>
    </w:p>
    <w:p>
      <w:pPr>
        <w:spacing w:line="700" w:lineRule="exact"/>
        <w:jc w:val="center"/>
        <w:outlineLvl w:val="0"/>
        <w:rPr>
          <w:rFonts w:ascii="方正小标宋_GBK" w:hAnsi="Times New Roman" w:eastAsia="方正小标宋_GBK"/>
          <w:color w:val="000000"/>
          <w:sz w:val="44"/>
          <w:szCs w:val="44"/>
          <w:u w:val="none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  <w:u w:val="none"/>
        </w:rPr>
        <w:t>“我为群众办实事”重点项目清单</w:t>
      </w:r>
    </w:p>
    <w:p>
      <w:pPr>
        <w:spacing w:line="500" w:lineRule="exact"/>
        <w:jc w:val="center"/>
        <w:rPr>
          <w:rFonts w:ascii="方正小标宋_GBK" w:hAnsi="Times New Roman" w:eastAsia="方正小标宋_GBK"/>
          <w:color w:val="000000"/>
          <w:sz w:val="44"/>
          <w:szCs w:val="44"/>
        </w:rPr>
      </w:pPr>
    </w:p>
    <w:tbl>
      <w:tblPr>
        <w:tblStyle w:val="2"/>
        <w:tblW w:w="8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484"/>
        <w:gridCol w:w="5798"/>
        <w:gridCol w:w="1301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78" w:hRule="atLeast"/>
          <w:tblHeader/>
          <w:jc w:val="center"/>
        </w:trPr>
        <w:tc>
          <w:tcPr>
            <w:tcW w:w="4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5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color w:val="000000"/>
                <w:sz w:val="32"/>
                <w:szCs w:val="32"/>
              </w:rPr>
              <w:t>具体内容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color w:val="000000"/>
                <w:sz w:val="32"/>
                <w:szCs w:val="32"/>
              </w:rPr>
              <w:t>责任部门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color w:val="000000"/>
                <w:sz w:val="32"/>
                <w:szCs w:val="32"/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148" w:hRule="atLeast"/>
          <w:jc w:val="center"/>
        </w:trPr>
        <w:tc>
          <w:tcPr>
            <w:tcW w:w="48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5798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提升教工餐厅服务水平：提高教职工伙食标准，改善学校食堂的环境卫生，保障师生用餐安全。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总务处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月底</w:t>
            </w:r>
          </w:p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长期坚持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0" w:hRule="atLeast"/>
          <w:jc w:val="center"/>
        </w:trPr>
        <w:tc>
          <w:tcPr>
            <w:tcW w:w="48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5798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校园道路亮化美化：拓宽校园主干道，提升道路两边绿化、美化效果。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总务处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12月底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372" w:hRule="atLeast"/>
          <w:jc w:val="center"/>
        </w:trPr>
        <w:tc>
          <w:tcPr>
            <w:tcW w:w="48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5798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助力教师专业成长：增加学校老师培训交流的机会，促进双师型教师的成长和增加；成立淮台职教集团专家团,聘请有影响力的教师为专家团成员，打造淮农名片，开展“传帮带”活动，促进教师队伍整体素质的提升。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教务处</w:t>
            </w:r>
          </w:p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校企合作处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立即实施</w:t>
            </w:r>
          </w:p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长期坚持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0" w:hRule="atLeast"/>
          <w:jc w:val="center"/>
        </w:trPr>
        <w:tc>
          <w:tcPr>
            <w:tcW w:w="48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5798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实现校园一卡通用：建立统一的一卡通平台，将综合消费、身份识别、应用管理等各系统整合在该平台下，真正实现“一卡在手，畅游校园”的功能，提高信息与资源共享程度。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总务处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相关企业已中标，合同尚未签订，预计签订合同后一个月内完成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0" w:hRule="atLeast"/>
          <w:jc w:val="center"/>
        </w:trPr>
        <w:tc>
          <w:tcPr>
            <w:tcW w:w="48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5798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倾情关爱教职工：制定《关爱教职工十项工作举措》。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工会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立即实施</w:t>
            </w:r>
          </w:p>
          <w:p>
            <w:pPr>
              <w:tabs>
                <w:tab w:val="center" w:pos="4153"/>
                <w:tab w:val="right" w:pos="8306"/>
              </w:tabs>
              <w:spacing w:line="39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长期坚持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